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68" w:rsidRDefault="00D35E68" w:rsidP="00D35E68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A9124A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НАЛИЧИЕ СВОБОДНЫХ МЕСТ В ОТДЕЛЕНИЯХ</w:t>
      </w:r>
    </w:p>
    <w:p w:rsidR="00D35E68" w:rsidRPr="00A9124A" w:rsidRDefault="00D905B5" w:rsidP="00D35E68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ГБУ «Комплексный центр социального обслуживания населения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»</w:t>
      </w:r>
    </w:p>
    <w:p w:rsidR="00D35E68" w:rsidRPr="00A9124A" w:rsidRDefault="00D905B5" w:rsidP="00D35E6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24A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  <w:t xml:space="preserve">Наличие </w:t>
      </w:r>
      <w:r w:rsidR="00D35E68" w:rsidRPr="00A9124A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  <w:t>свободных мест для приема получателей социальных услуг</w:t>
      </w:r>
    </w:p>
    <w:p w:rsidR="00D35E68" w:rsidRPr="00A9124A" w:rsidRDefault="00D35E68" w:rsidP="00D35E6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24A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  <w:t>по состоянию на 01 число текущего месяца на 2021года</w:t>
      </w:r>
    </w:p>
    <w:p w:rsidR="00D35E68" w:rsidRPr="00A9124A" w:rsidRDefault="00D35E68" w:rsidP="00D35E6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7"/>
        <w:gridCol w:w="1023"/>
        <w:gridCol w:w="1024"/>
        <w:gridCol w:w="1024"/>
        <w:gridCol w:w="1023"/>
        <w:gridCol w:w="1024"/>
        <w:gridCol w:w="1024"/>
        <w:gridCol w:w="1023"/>
        <w:gridCol w:w="1024"/>
        <w:gridCol w:w="1024"/>
        <w:gridCol w:w="1023"/>
        <w:gridCol w:w="1024"/>
        <w:gridCol w:w="1024"/>
      </w:tblGrid>
      <w:tr w:rsidR="00BE6AF4" w:rsidRPr="00BE6AF4" w:rsidTr="006C6C20">
        <w:trPr>
          <w:trHeight w:val="1020"/>
          <w:tblHeader/>
        </w:trPr>
        <w:tc>
          <w:tcPr>
            <w:tcW w:w="2417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Формы социального обслуживания</w:t>
            </w:r>
          </w:p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023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23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23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3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EA58E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Декабрь</w:t>
            </w:r>
          </w:p>
        </w:tc>
      </w:tr>
      <w:tr w:rsidR="00BE6AF4" w:rsidRPr="00BE6AF4" w:rsidTr="00B302F5">
        <w:trPr>
          <w:trHeight w:val="567"/>
        </w:trPr>
        <w:tc>
          <w:tcPr>
            <w:tcW w:w="14701" w:type="dxa"/>
            <w:gridSpan w:val="13"/>
            <w:vAlign w:val="center"/>
            <w:hideMark/>
          </w:tcPr>
          <w:p w:rsidR="00D35E68" w:rsidRPr="00BE6AF4" w:rsidRDefault="00BE6AF4" w:rsidP="00BE6A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1. </w:t>
            </w:r>
            <w:r w:rsidR="00D35E68" w:rsidRPr="00BE6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Социальное обслуживание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 дому</w:t>
            </w:r>
          </w:p>
        </w:tc>
      </w:tr>
      <w:tr w:rsidR="00BE6AF4" w:rsidRPr="00BE6AF4" w:rsidTr="00B302F5">
        <w:trPr>
          <w:trHeight w:val="20"/>
        </w:trPr>
        <w:tc>
          <w:tcPr>
            <w:tcW w:w="2417" w:type="dxa"/>
            <w:hideMark/>
          </w:tcPr>
          <w:p w:rsidR="00BE6AF4" w:rsidRPr="00BE6AF4" w:rsidRDefault="00D35E68" w:rsidP="00BC74AA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1.</w:t>
            </w:r>
            <w:r w:rsidR="00EA58E1"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1. 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Отделение социального обслуживания </w:t>
            </w:r>
          </w:p>
          <w:p w:rsidR="00D35E68" w:rsidRPr="00BE6AF4" w:rsidRDefault="00D35E68" w:rsidP="00BC74AA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(на дому)</w:t>
            </w:r>
          </w:p>
          <w:p w:rsidR="00D35E68" w:rsidRPr="00BE6AF4" w:rsidRDefault="00D35E68" w:rsidP="00BC74AA">
            <w:pPr>
              <w:jc w:val="right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50 мест </w:t>
            </w:r>
          </w:p>
        </w:tc>
        <w:tc>
          <w:tcPr>
            <w:tcW w:w="1023" w:type="dxa"/>
            <w:vAlign w:val="center"/>
            <w:hideMark/>
          </w:tcPr>
          <w:p w:rsidR="00D35E68" w:rsidRPr="00BE6AF4" w:rsidRDefault="00D35E68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vAlign w:val="center"/>
            <w:hideMark/>
          </w:tcPr>
          <w:p w:rsidR="00D35E68" w:rsidRPr="00BE6AF4" w:rsidRDefault="00D35E68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023" w:type="dxa"/>
            <w:vAlign w:val="center"/>
            <w:hideMark/>
          </w:tcPr>
          <w:p w:rsidR="00D35E68" w:rsidRPr="00BE6AF4" w:rsidRDefault="00D35E68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C2137F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023" w:type="dxa"/>
            <w:vAlign w:val="center"/>
            <w:hideMark/>
          </w:tcPr>
          <w:p w:rsidR="00D35E68" w:rsidRPr="00BE6AF4" w:rsidRDefault="00C2137F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C2137F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024" w:type="dxa"/>
            <w:vAlign w:val="center"/>
            <w:hideMark/>
          </w:tcPr>
          <w:p w:rsidR="00D35E68" w:rsidRPr="00BE6AF4" w:rsidRDefault="00D35E68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</w:p>
        </w:tc>
      </w:tr>
      <w:tr w:rsidR="00BE6AF4" w:rsidRPr="00BE6AF4" w:rsidTr="00B302F5">
        <w:trPr>
          <w:trHeight w:val="567"/>
        </w:trPr>
        <w:tc>
          <w:tcPr>
            <w:tcW w:w="14701" w:type="dxa"/>
            <w:gridSpan w:val="13"/>
            <w:vAlign w:val="center"/>
            <w:hideMark/>
          </w:tcPr>
          <w:p w:rsidR="00BE6AF4" w:rsidRPr="00BE6AF4" w:rsidRDefault="00BE6AF4" w:rsidP="00BE6A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2. </w:t>
            </w:r>
            <w:r w:rsidRPr="00BE6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Полустационарное обслуживание</w:t>
            </w:r>
          </w:p>
        </w:tc>
      </w:tr>
      <w:tr w:rsidR="00BE6AF4" w:rsidRPr="00BE6AF4" w:rsidTr="00B302F5">
        <w:trPr>
          <w:trHeight w:val="1757"/>
        </w:trPr>
        <w:tc>
          <w:tcPr>
            <w:tcW w:w="2417" w:type="dxa"/>
          </w:tcPr>
          <w:p w:rsidR="00C2137F" w:rsidRPr="00BE6AF4" w:rsidRDefault="00BE6AF4" w:rsidP="00EA58E1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</w:t>
            </w:r>
            <w:r w:rsidR="00C2137F"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</w:t>
            </w:r>
            <w:r w:rsidR="00EA58E1"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.</w:t>
            </w:r>
            <w:r w:rsidR="00C2137F"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 </w:t>
            </w:r>
            <w:r w:rsidR="00D35E68"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Отделение социального обслуживания (полустационар)</w:t>
            </w:r>
          </w:p>
          <w:p w:rsidR="00D35E68" w:rsidRPr="00BE6AF4" w:rsidRDefault="00C2137F" w:rsidP="00EA58E1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145</w:t>
            </w:r>
            <w:r w:rsidR="00EA58E1" w:rsidRPr="00BE6AF4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 xml:space="preserve"> </w:t>
            </w: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023" w:type="dxa"/>
            <w:vAlign w:val="center"/>
          </w:tcPr>
          <w:p w:rsidR="00D35E68" w:rsidRPr="00BE6AF4" w:rsidRDefault="001E6CB5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024" w:type="dxa"/>
            <w:vAlign w:val="center"/>
          </w:tcPr>
          <w:p w:rsidR="00D35E68" w:rsidRPr="00BE6AF4" w:rsidRDefault="001E6CB5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1024" w:type="dxa"/>
            <w:vAlign w:val="center"/>
          </w:tcPr>
          <w:p w:rsidR="00D35E68" w:rsidRPr="00BE6AF4" w:rsidRDefault="001E6CB5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vAlign w:val="center"/>
          </w:tcPr>
          <w:p w:rsidR="00D35E68" w:rsidRPr="00BE6AF4" w:rsidRDefault="001E6CB5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024" w:type="dxa"/>
            <w:vAlign w:val="center"/>
          </w:tcPr>
          <w:p w:rsidR="00D35E68" w:rsidRPr="00BE6AF4" w:rsidRDefault="001E6CB5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024" w:type="dxa"/>
            <w:vAlign w:val="center"/>
          </w:tcPr>
          <w:p w:rsidR="00D35E68" w:rsidRPr="00BE6AF4" w:rsidRDefault="001E6CB5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1023" w:type="dxa"/>
            <w:vAlign w:val="center"/>
          </w:tcPr>
          <w:p w:rsidR="00D35E68" w:rsidRPr="00BE6AF4" w:rsidRDefault="001E6CB5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1024" w:type="dxa"/>
            <w:vAlign w:val="center"/>
          </w:tcPr>
          <w:p w:rsidR="00D35E68" w:rsidRPr="00BE6AF4" w:rsidRDefault="001E6CB5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024" w:type="dxa"/>
            <w:vAlign w:val="center"/>
          </w:tcPr>
          <w:p w:rsidR="00D35E68" w:rsidRPr="00BE6AF4" w:rsidRDefault="001E6CB5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vAlign w:val="center"/>
          </w:tcPr>
          <w:p w:rsidR="00D35E68" w:rsidRPr="00BE6AF4" w:rsidRDefault="001E6CB5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024" w:type="dxa"/>
            <w:vAlign w:val="center"/>
          </w:tcPr>
          <w:p w:rsidR="00D35E68" w:rsidRPr="00BE6AF4" w:rsidRDefault="001E6CB5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024" w:type="dxa"/>
            <w:vAlign w:val="center"/>
          </w:tcPr>
          <w:p w:rsidR="00D35E68" w:rsidRPr="00BE6AF4" w:rsidRDefault="00D35E68" w:rsidP="00BE6AF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</w:pPr>
          </w:p>
        </w:tc>
      </w:tr>
      <w:tr w:rsidR="00BE6AF4" w:rsidRPr="00BE6AF4" w:rsidTr="00B302F5">
        <w:trPr>
          <w:trHeight w:val="1757"/>
        </w:trPr>
        <w:tc>
          <w:tcPr>
            <w:tcW w:w="2417" w:type="dxa"/>
            <w:hideMark/>
          </w:tcPr>
          <w:p w:rsidR="00BE6AF4" w:rsidRPr="00BE6AF4" w:rsidRDefault="00BE6AF4" w:rsidP="00BE6AF4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2.2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.Отделение срочного социального обслуживания</w:t>
            </w:r>
          </w:p>
          <w:p w:rsidR="00BE6AF4" w:rsidRPr="00BE6AF4" w:rsidRDefault="00BE6AF4" w:rsidP="00BE6AF4">
            <w:pPr>
              <w:jc w:val="right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2 места</w:t>
            </w:r>
          </w:p>
        </w:tc>
        <w:tc>
          <w:tcPr>
            <w:tcW w:w="1023" w:type="dxa"/>
            <w:hideMark/>
          </w:tcPr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На заявитель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-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ной основе</w:t>
            </w:r>
          </w:p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Cs w:val="24"/>
                <w:lang w:eastAsia="ru-RU"/>
              </w:rPr>
              <w:t>нет мест</w:t>
            </w:r>
          </w:p>
        </w:tc>
        <w:tc>
          <w:tcPr>
            <w:tcW w:w="1024" w:type="dxa"/>
            <w:hideMark/>
          </w:tcPr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На заявитель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-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ной основе</w:t>
            </w:r>
          </w:p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Cs w:val="24"/>
                <w:lang w:eastAsia="ru-RU"/>
              </w:rPr>
              <w:t>нет мест</w:t>
            </w:r>
          </w:p>
        </w:tc>
        <w:tc>
          <w:tcPr>
            <w:tcW w:w="1024" w:type="dxa"/>
            <w:hideMark/>
          </w:tcPr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На заявитель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-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ной основе</w:t>
            </w:r>
          </w:p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На заявитель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-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ной основе</w:t>
            </w:r>
          </w:p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hideMark/>
          </w:tcPr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На заявитель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-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ной основе</w:t>
            </w:r>
          </w:p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hideMark/>
          </w:tcPr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На заявитель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-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ной основе</w:t>
            </w:r>
          </w:p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На заявитель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-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ной основе</w:t>
            </w:r>
          </w:p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hideMark/>
          </w:tcPr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На заявитель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-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ной основе</w:t>
            </w:r>
          </w:p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hideMark/>
          </w:tcPr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На заявитель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-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ной основе</w:t>
            </w:r>
          </w:p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На заявитель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-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ной основе</w:t>
            </w:r>
          </w:p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hideMark/>
          </w:tcPr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На заявитель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-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ной основе</w:t>
            </w:r>
          </w:p>
          <w:p w:rsidR="00BE6AF4" w:rsidRPr="00BE6AF4" w:rsidRDefault="00BE6AF4" w:rsidP="00BE6AF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b/>
                <w:color w:val="0000CC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hideMark/>
          </w:tcPr>
          <w:p w:rsidR="00BE6AF4" w:rsidRPr="00BE6AF4" w:rsidRDefault="00BE6AF4" w:rsidP="00BE6AF4">
            <w:pP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</w:p>
        </w:tc>
      </w:tr>
      <w:tr w:rsidR="009221BD" w:rsidRPr="00BE6AF4" w:rsidTr="006C6C20">
        <w:trPr>
          <w:trHeight w:val="964"/>
        </w:trPr>
        <w:tc>
          <w:tcPr>
            <w:tcW w:w="2417" w:type="dxa"/>
            <w:vMerge w:val="restart"/>
          </w:tcPr>
          <w:p w:rsidR="009221BD" w:rsidRDefault="009221BD" w:rsidP="00BE6AF4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3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. Отделение реабилитации инвалидов</w:t>
            </w:r>
          </w:p>
          <w:p w:rsidR="006C6C20" w:rsidRDefault="006C6C20" w:rsidP="00BE6AF4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BE6AF4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BE6AF4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BE6AF4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9221BD" w:rsidRDefault="00B302F5" w:rsidP="00BE6AF4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5</w:t>
            </w:r>
            <w:r w:rsidR="009221BD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 мест </w:t>
            </w:r>
            <w:r w:rsidR="009221BD"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1"/>
            </w:r>
          </w:p>
          <w:p w:rsidR="009221BD" w:rsidRDefault="009221BD" w:rsidP="00BE6AF4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82 места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2"/>
            </w:r>
          </w:p>
          <w:p w:rsidR="009221BD" w:rsidRPr="00BE6AF4" w:rsidRDefault="009221BD" w:rsidP="00BE6AF4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40 мест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12284" w:type="dxa"/>
            <w:gridSpan w:val="12"/>
            <w:vAlign w:val="center"/>
          </w:tcPr>
          <w:p w:rsidR="009221BD" w:rsidRPr="00BE6AF4" w:rsidRDefault="009221BD" w:rsidP="009221BD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6C6C20">
              <w:rPr>
                <w:rFonts w:ascii="Times New Roman" w:eastAsia="Times New Roman" w:hAnsi="Times New Roman" w:cs="Times New Roman"/>
                <w:color w:val="0000CC"/>
                <w:sz w:val="28"/>
                <w:szCs w:val="24"/>
                <w:lang w:eastAsia="ru-RU"/>
              </w:rPr>
              <w:t>Обслуживание ведется на заявительной основе</w:t>
            </w:r>
          </w:p>
        </w:tc>
      </w:tr>
      <w:tr w:rsidR="00B302F5" w:rsidRPr="00BE6AF4" w:rsidTr="00B302F5">
        <w:trPr>
          <w:trHeight w:val="828"/>
        </w:trPr>
        <w:tc>
          <w:tcPr>
            <w:tcW w:w="2417" w:type="dxa"/>
            <w:vMerge/>
          </w:tcPr>
          <w:p w:rsidR="00B302F5" w:rsidRPr="00BE6AF4" w:rsidRDefault="00B302F5" w:rsidP="00B302F5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P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32"/>
                <w:szCs w:val="24"/>
                <w:lang w:eastAsia="ru-RU"/>
              </w:rPr>
            </w:pP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5</w:t>
            </w: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024" w:type="dxa"/>
          </w:tcPr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P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32"/>
                <w:szCs w:val="32"/>
                <w:lang w:eastAsia="ru-RU"/>
              </w:rPr>
            </w:pP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4</w:t>
            </w: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P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32"/>
                <w:szCs w:val="32"/>
                <w:lang w:eastAsia="ru-RU"/>
              </w:rPr>
            </w:pP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1</w:t>
            </w: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023" w:type="dxa"/>
          </w:tcPr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Pr="006C6C20" w:rsidRDefault="006C6C20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32"/>
                <w:szCs w:val="32"/>
                <w:lang w:eastAsia="ru-RU"/>
              </w:rPr>
            </w:pP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P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32"/>
                <w:szCs w:val="32"/>
                <w:lang w:eastAsia="ru-RU"/>
              </w:rPr>
            </w:pP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2</w:t>
            </w: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P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32"/>
                <w:szCs w:val="32"/>
                <w:lang w:eastAsia="ru-RU"/>
              </w:rPr>
            </w:pP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5</w:t>
            </w: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023" w:type="dxa"/>
          </w:tcPr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P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32"/>
                <w:szCs w:val="32"/>
                <w:lang w:eastAsia="ru-RU"/>
              </w:rPr>
            </w:pP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5</w:t>
            </w: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P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32"/>
                <w:szCs w:val="32"/>
                <w:lang w:eastAsia="ru-RU"/>
              </w:rPr>
            </w:pP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5</w:t>
            </w: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  <w:p w:rsidR="006C6C20" w:rsidRPr="006C6C20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32"/>
                <w:szCs w:val="32"/>
                <w:lang w:eastAsia="ru-RU"/>
              </w:rPr>
            </w:pP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1</w:t>
            </w:r>
          </w:p>
          <w:p w:rsidR="00B302F5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023" w:type="dxa"/>
            <w:tcBorders>
              <w:tl2br w:val="single" w:sz="4" w:space="0" w:color="auto"/>
              <w:tr2bl w:val="single" w:sz="4" w:space="0" w:color="auto"/>
            </w:tcBorders>
          </w:tcPr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B302F5" w:rsidRPr="00BE6AF4" w:rsidRDefault="00B302F5" w:rsidP="00B302F5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</w:tc>
      </w:tr>
      <w:tr w:rsidR="00B302F5" w:rsidRPr="00BE6AF4" w:rsidTr="006420CA">
        <w:trPr>
          <w:trHeight w:val="540"/>
        </w:trPr>
        <w:tc>
          <w:tcPr>
            <w:tcW w:w="2417" w:type="dxa"/>
            <w:vMerge w:val="restart"/>
          </w:tcPr>
          <w:p w:rsidR="00B302F5" w:rsidRDefault="00B302F5" w:rsidP="00B302F5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2.4. </w:t>
            </w: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Отделение социальной реабилитации несовершеннолетних</w:t>
            </w:r>
          </w:p>
          <w:p w:rsidR="006C6C20" w:rsidRDefault="006C6C20" w:rsidP="00B302F5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B302F5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B302F5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B302F5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0160B3" w:rsidRDefault="000160B3" w:rsidP="000160B3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4 места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4"/>
            </w:r>
          </w:p>
          <w:p w:rsidR="00B36FF7" w:rsidRDefault="00B36FF7" w:rsidP="000160B3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4 места 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5"/>
            </w:r>
          </w:p>
          <w:p w:rsidR="00B36FF7" w:rsidRDefault="00B36FF7" w:rsidP="000160B3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34 места 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3</w:t>
            </w:r>
          </w:p>
          <w:p w:rsidR="00B302F5" w:rsidRPr="00BE6AF4" w:rsidRDefault="00B302F5" w:rsidP="00B302F5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2284" w:type="dxa"/>
            <w:gridSpan w:val="12"/>
            <w:tcBorders>
              <w:bottom w:val="single" w:sz="4" w:space="0" w:color="auto"/>
            </w:tcBorders>
          </w:tcPr>
          <w:p w:rsidR="006C6C20" w:rsidRDefault="006C6C20" w:rsidP="00BE6AF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B302F5" w:rsidP="00BE6AF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Обслуживание ведется 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согласно постановлениям Комиссии по делам несовершеннолетних и защите их прав, </w:t>
            </w:r>
            <w:r w:rsidR="004B6E76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при выявлении </w:t>
            </w:r>
            <w:r w:rsidR="004B6E76" w:rsidRPr="004B6E76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сотрудниками органа или учреждения системы профилактики безнадзорности и правонарушений </w:t>
            </w:r>
          </w:p>
          <w:p w:rsidR="00B302F5" w:rsidRDefault="004B6E76" w:rsidP="00BE6AF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4B6E76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несовершеннолетних в городе Байконур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 и помещении их в «Социальную квартиру»</w:t>
            </w:r>
          </w:p>
          <w:p w:rsidR="00B302F5" w:rsidRDefault="00B302F5" w:rsidP="00BE6AF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на заявительной основе</w:t>
            </w:r>
          </w:p>
          <w:p w:rsidR="006C6C20" w:rsidRPr="00BE6AF4" w:rsidRDefault="006C6C20" w:rsidP="00BE6AF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</w:tr>
      <w:tr w:rsidR="006C6C20" w:rsidRPr="00BE6AF4" w:rsidTr="006C6C20">
        <w:trPr>
          <w:trHeight w:val="840"/>
        </w:trPr>
        <w:tc>
          <w:tcPr>
            <w:tcW w:w="2417" w:type="dxa"/>
            <w:vMerge/>
          </w:tcPr>
          <w:p w:rsidR="006C6C20" w:rsidRDefault="006C6C20" w:rsidP="006C6C20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Pr="00BE6AF4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Pr="00BE6AF4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Pr="00BE6AF4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Pr="00BE6AF4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Pr="00BE6AF4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</w:t>
            </w: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Pr="00BE6AF4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Pr="00BE6AF4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</w:t>
            </w: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Pr="00BE6AF4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3</w:t>
            </w:r>
          </w:p>
          <w:p w:rsidR="006C6C20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Pr="00BE6AF4" w:rsidRDefault="006C6C20" w:rsidP="006C6C20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3" w:type="dxa"/>
            <w:tcBorders>
              <w:tl2br w:val="single" w:sz="4" w:space="0" w:color="auto"/>
              <w:tr2bl w:val="single" w:sz="4" w:space="0" w:color="auto"/>
            </w:tcBorders>
          </w:tcPr>
          <w:p w:rsidR="006C6C20" w:rsidRPr="00BE6AF4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6C6C20" w:rsidRPr="00BE6AF4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6C6C20" w:rsidRPr="00BE6AF4" w:rsidRDefault="006C6C20" w:rsidP="006C6C20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4"/>
                <w:lang w:eastAsia="ru-RU"/>
              </w:rPr>
            </w:pPr>
          </w:p>
        </w:tc>
      </w:tr>
      <w:tr w:rsidR="00F43556" w:rsidRPr="00BE6AF4" w:rsidTr="00B302F5">
        <w:tc>
          <w:tcPr>
            <w:tcW w:w="2417" w:type="dxa"/>
            <w:hideMark/>
          </w:tcPr>
          <w:p w:rsidR="00F43556" w:rsidRDefault="00F43556" w:rsidP="00F43556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lastRenderedPageBreak/>
              <w:t>2.1 Отделение социальной реабилитации инвалидов и несовершеннолетних</w:t>
            </w:r>
          </w:p>
          <w:p w:rsidR="006C6C20" w:rsidRDefault="006C6C20" w:rsidP="006C6C20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5 мест 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6"/>
            </w:r>
          </w:p>
          <w:p w:rsidR="006C6C20" w:rsidRDefault="006C6C20" w:rsidP="006C6C20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82 места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7"/>
            </w:r>
          </w:p>
          <w:p w:rsidR="006C6C20" w:rsidRPr="00BE6AF4" w:rsidRDefault="006C6C20" w:rsidP="006C6C20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 мест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8"/>
            </w:r>
          </w:p>
          <w:p w:rsidR="006C6C20" w:rsidRDefault="006C6C20" w:rsidP="006C6C20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4 места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9"/>
            </w:r>
          </w:p>
          <w:p w:rsidR="00F43556" w:rsidRPr="00BE6AF4" w:rsidRDefault="006C6C20" w:rsidP="006C6C20">
            <w:pPr>
              <w:jc w:val="right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4 места 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023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hideMark/>
          </w:tcPr>
          <w:p w:rsidR="00F43556" w:rsidRPr="006C6C20" w:rsidRDefault="00F43556" w:rsidP="00F43556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Pr="006C6C20" w:rsidRDefault="006C6C20" w:rsidP="00F43556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Pr="006C6C20" w:rsidRDefault="006C6C20" w:rsidP="00F43556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Pr="006C6C20" w:rsidRDefault="006C6C20" w:rsidP="00F43556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Pr="006C6C20" w:rsidRDefault="006C6C20" w:rsidP="00F43556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F43556" w:rsidRPr="006C6C20" w:rsidRDefault="00F43556" w:rsidP="00F43556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6C6C20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F43556" w:rsidRPr="006C6C20" w:rsidRDefault="00F43556" w:rsidP="00F43556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6C6C20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F43556" w:rsidRDefault="00F43556" w:rsidP="00F43556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6C6C20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Default="006C6C20" w:rsidP="00F43556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3</w:t>
            </w:r>
          </w:p>
          <w:p w:rsidR="006C6C20" w:rsidRPr="006C6C20" w:rsidRDefault="006C6C20" w:rsidP="00F43556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4" w:type="dxa"/>
            <w:hideMark/>
          </w:tcPr>
          <w:p w:rsidR="00F43556" w:rsidRPr="006C6C20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6C6C20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hideMark/>
          </w:tcPr>
          <w:p w:rsidR="00F43556" w:rsidRPr="006C6C20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6C6C20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 </w:t>
            </w:r>
          </w:p>
        </w:tc>
      </w:tr>
      <w:tr w:rsidR="00F43556" w:rsidRPr="00BE6AF4" w:rsidTr="00B302F5">
        <w:tc>
          <w:tcPr>
            <w:tcW w:w="2417" w:type="dxa"/>
            <w:hideMark/>
          </w:tcPr>
          <w:p w:rsidR="00F43556" w:rsidRDefault="00F43556" w:rsidP="00F43556">
            <w:pP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2.2Отделение социально-медицинской реабилитации</w:t>
            </w:r>
          </w:p>
          <w:p w:rsidR="006C6C20" w:rsidRDefault="006C6C20" w:rsidP="006C6C20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5 мест 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11"/>
            </w:r>
          </w:p>
          <w:p w:rsidR="006C6C20" w:rsidRDefault="00D905B5" w:rsidP="006C6C20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4</w:t>
            </w:r>
            <w:r w:rsidR="006C6C20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 места</w:t>
            </w:r>
            <w:r w:rsidR="006C6C20"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12"/>
            </w:r>
          </w:p>
          <w:p w:rsidR="006C6C20" w:rsidRPr="00BE6AF4" w:rsidRDefault="006C6C20" w:rsidP="00D905B5">
            <w:pPr>
              <w:jc w:val="righ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40 мест</w:t>
            </w:r>
            <w:r>
              <w:rPr>
                <w:rStyle w:val="a6"/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ootnoteReference w:id="13"/>
            </w:r>
          </w:p>
        </w:tc>
        <w:tc>
          <w:tcPr>
            <w:tcW w:w="1023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l2br w:val="single" w:sz="4" w:space="0" w:color="auto"/>
              <w:tr2bl w:val="single" w:sz="4" w:space="0" w:color="auto"/>
            </w:tcBorders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hideMark/>
          </w:tcPr>
          <w:p w:rsidR="00F43556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 </w:t>
            </w:r>
          </w:p>
          <w:p w:rsidR="006C6C20" w:rsidRDefault="006C6C20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6C6C20" w:rsidRDefault="006C6C20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  <w:p w:rsidR="006C6C20" w:rsidRPr="00BE6AF4" w:rsidRDefault="00D905B5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4" w:type="dxa"/>
            <w:hideMark/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hideMark/>
          </w:tcPr>
          <w:p w:rsidR="00F43556" w:rsidRPr="00BE6AF4" w:rsidRDefault="00F43556" w:rsidP="00F4355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BE6AF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 </w:t>
            </w:r>
          </w:p>
        </w:tc>
      </w:tr>
    </w:tbl>
    <w:p w:rsidR="00023731" w:rsidRDefault="00023731"/>
    <w:sectPr w:rsidR="00023731" w:rsidSect="006C6C2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73" w:rsidRDefault="00422473" w:rsidP="00BE6AF4">
      <w:r>
        <w:separator/>
      </w:r>
    </w:p>
  </w:endnote>
  <w:endnote w:type="continuationSeparator" w:id="0">
    <w:p w:rsidR="00422473" w:rsidRDefault="00422473" w:rsidP="00BE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73" w:rsidRDefault="00422473" w:rsidP="00BE6AF4">
      <w:r>
        <w:separator/>
      </w:r>
    </w:p>
  </w:footnote>
  <w:footnote w:type="continuationSeparator" w:id="0">
    <w:p w:rsidR="00422473" w:rsidRDefault="00422473" w:rsidP="00BE6AF4">
      <w:r>
        <w:continuationSeparator/>
      </w:r>
    </w:p>
  </w:footnote>
  <w:footnote w:id="1">
    <w:p w:rsidR="009221BD" w:rsidRPr="00D905B5" w:rsidRDefault="009221BD">
      <w:pPr>
        <w:pStyle w:val="a4"/>
        <w:rPr>
          <w:i/>
          <w:color w:val="0000CC"/>
        </w:rPr>
      </w:pPr>
      <w:r w:rsidRPr="00D905B5">
        <w:rPr>
          <w:rStyle w:val="a6"/>
          <w:i/>
          <w:color w:val="0000CC"/>
        </w:rPr>
        <w:footnoteRef/>
      </w:r>
      <w:r w:rsidRPr="00D905B5">
        <w:rPr>
          <w:i/>
          <w:color w:val="0000CC"/>
        </w:rPr>
        <w:t xml:space="preserve"> Гражданин,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</w:p>
  </w:footnote>
  <w:footnote w:id="2">
    <w:p w:rsidR="009221BD" w:rsidRPr="00D905B5" w:rsidRDefault="009221BD">
      <w:pPr>
        <w:pStyle w:val="a4"/>
        <w:rPr>
          <w:i/>
          <w:color w:val="0000CC"/>
        </w:rPr>
      </w:pPr>
      <w:r w:rsidRPr="00D905B5">
        <w:rPr>
          <w:rStyle w:val="a6"/>
          <w:i/>
          <w:color w:val="0000CC"/>
        </w:rPr>
        <w:footnoteRef/>
      </w:r>
      <w:r w:rsidRPr="00D905B5">
        <w:rPr>
          <w:i/>
          <w:color w:val="0000CC"/>
        </w:rPr>
        <w:t xml:space="preserve"> Гражданин,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</w:p>
  </w:footnote>
  <w:footnote w:id="3">
    <w:p w:rsidR="009221BD" w:rsidRPr="00D905B5" w:rsidRDefault="009221BD">
      <w:pPr>
        <w:pStyle w:val="a4"/>
        <w:rPr>
          <w:i/>
          <w:color w:val="0000CC"/>
        </w:rPr>
      </w:pPr>
      <w:r w:rsidRPr="00D905B5">
        <w:rPr>
          <w:rStyle w:val="a6"/>
          <w:i/>
          <w:color w:val="0000CC"/>
        </w:rPr>
        <w:footnoteRef/>
      </w:r>
      <w:r w:rsidRPr="00D905B5">
        <w:rPr>
          <w:i/>
          <w:color w:val="0000CC"/>
        </w:rPr>
        <w:t xml:space="preserve"> 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  <w:r w:rsidRPr="00D905B5">
        <w:rPr>
          <w:i/>
          <w:color w:val="0000CC"/>
        </w:rPr>
        <w:tab/>
      </w:r>
    </w:p>
  </w:footnote>
  <w:footnote w:id="4">
    <w:p w:rsidR="000160B3" w:rsidRPr="00D905B5" w:rsidRDefault="000160B3">
      <w:pPr>
        <w:pStyle w:val="a4"/>
        <w:rPr>
          <w:i/>
          <w:color w:val="0000CC"/>
        </w:rPr>
      </w:pPr>
      <w:r w:rsidRPr="00D905B5">
        <w:rPr>
          <w:rStyle w:val="a6"/>
          <w:i/>
          <w:color w:val="0000CC"/>
        </w:rPr>
        <w:footnoteRef/>
      </w:r>
      <w:r w:rsidRPr="00D905B5">
        <w:rPr>
          <w:i/>
          <w:color w:val="0000CC"/>
        </w:rPr>
        <w:t xml:space="preserve"> Гражданин при наличии ребенка или детей (в том числе находящихся под опекой, попечительством), испытывающих трудности в социальной адаптации</w:t>
      </w:r>
    </w:p>
  </w:footnote>
  <w:footnote w:id="5">
    <w:p w:rsidR="00B36FF7" w:rsidRPr="00D905B5" w:rsidRDefault="00B36FF7">
      <w:pPr>
        <w:pStyle w:val="a4"/>
        <w:rPr>
          <w:i/>
          <w:color w:val="0000CC"/>
        </w:rPr>
      </w:pPr>
      <w:r w:rsidRPr="00D905B5">
        <w:rPr>
          <w:rStyle w:val="a6"/>
          <w:i/>
          <w:color w:val="0000CC"/>
        </w:rPr>
        <w:footnoteRef/>
      </w:r>
      <w:r w:rsidRPr="00D905B5">
        <w:rPr>
          <w:i/>
          <w:color w:val="0000CC"/>
        </w:rPr>
        <w:t xml:space="preserve"> Гражданин при наличии внутрисемейнного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</w:r>
    </w:p>
  </w:footnote>
  <w:footnote w:id="6">
    <w:p w:rsidR="006C6C20" w:rsidRPr="00D905B5" w:rsidRDefault="006C6C20" w:rsidP="006C6C20">
      <w:pPr>
        <w:pStyle w:val="a4"/>
        <w:rPr>
          <w:i/>
          <w:color w:val="0000CC"/>
          <w:sz w:val="18"/>
        </w:rPr>
      </w:pPr>
      <w:r w:rsidRPr="00D905B5">
        <w:rPr>
          <w:rStyle w:val="a6"/>
          <w:i/>
          <w:color w:val="0000CC"/>
          <w:sz w:val="18"/>
        </w:rPr>
        <w:footnoteRef/>
      </w:r>
      <w:r w:rsidRPr="00D905B5">
        <w:rPr>
          <w:i/>
          <w:color w:val="0000CC"/>
          <w:sz w:val="18"/>
        </w:rPr>
        <w:t xml:space="preserve"> Гражданин,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</w:p>
  </w:footnote>
  <w:footnote w:id="7">
    <w:p w:rsidR="006C6C20" w:rsidRPr="00D905B5" w:rsidRDefault="006C6C20" w:rsidP="006C6C20">
      <w:pPr>
        <w:pStyle w:val="a4"/>
        <w:rPr>
          <w:i/>
          <w:color w:val="0000CC"/>
          <w:sz w:val="18"/>
        </w:rPr>
      </w:pPr>
      <w:r w:rsidRPr="00D905B5">
        <w:rPr>
          <w:rStyle w:val="a6"/>
          <w:i/>
          <w:color w:val="0000CC"/>
          <w:sz w:val="18"/>
        </w:rPr>
        <w:footnoteRef/>
      </w:r>
      <w:r w:rsidRPr="00D905B5">
        <w:rPr>
          <w:i/>
          <w:color w:val="0000CC"/>
          <w:sz w:val="18"/>
        </w:rPr>
        <w:t xml:space="preserve"> Гражданин,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</w:p>
  </w:footnote>
  <w:footnote w:id="8">
    <w:p w:rsidR="006C6C20" w:rsidRPr="00D905B5" w:rsidRDefault="006C6C20" w:rsidP="006C6C20">
      <w:pPr>
        <w:pStyle w:val="a4"/>
        <w:rPr>
          <w:i/>
          <w:color w:val="0000CC"/>
          <w:sz w:val="18"/>
        </w:rPr>
      </w:pPr>
      <w:r w:rsidRPr="00D905B5">
        <w:rPr>
          <w:rStyle w:val="a6"/>
          <w:i/>
          <w:color w:val="0000CC"/>
          <w:sz w:val="18"/>
        </w:rPr>
        <w:footnoteRef/>
      </w:r>
      <w:r w:rsidRPr="00D905B5">
        <w:rPr>
          <w:i/>
          <w:color w:val="0000CC"/>
          <w:sz w:val="18"/>
        </w:rPr>
        <w:t xml:space="preserve"> 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</w:p>
  </w:footnote>
  <w:footnote w:id="9">
    <w:p w:rsidR="006C6C20" w:rsidRPr="00D905B5" w:rsidRDefault="006C6C20" w:rsidP="006C6C20">
      <w:pPr>
        <w:pStyle w:val="a4"/>
        <w:rPr>
          <w:i/>
          <w:color w:val="0000CC"/>
          <w:sz w:val="18"/>
        </w:rPr>
      </w:pPr>
      <w:r w:rsidRPr="00D905B5">
        <w:rPr>
          <w:rStyle w:val="a6"/>
          <w:i/>
          <w:color w:val="0000CC"/>
          <w:sz w:val="18"/>
        </w:rPr>
        <w:footnoteRef/>
      </w:r>
      <w:r w:rsidRPr="00D905B5">
        <w:rPr>
          <w:i/>
          <w:color w:val="0000CC"/>
          <w:sz w:val="18"/>
        </w:rPr>
        <w:t xml:space="preserve"> Гражданин при наличии ребенка или детей (в том числе находящихся под опекой, попечительством), испытывающих трудности в социальной адаптации</w:t>
      </w:r>
    </w:p>
  </w:footnote>
  <w:footnote w:id="10">
    <w:p w:rsidR="006C6C20" w:rsidRPr="00D905B5" w:rsidRDefault="006C6C20" w:rsidP="006C6C20">
      <w:pPr>
        <w:pStyle w:val="a4"/>
        <w:rPr>
          <w:i/>
          <w:color w:val="0000CC"/>
          <w:sz w:val="18"/>
        </w:rPr>
      </w:pPr>
      <w:r w:rsidRPr="00D905B5">
        <w:rPr>
          <w:rStyle w:val="a6"/>
          <w:i/>
          <w:color w:val="0000CC"/>
          <w:sz w:val="18"/>
        </w:rPr>
        <w:footnoteRef/>
      </w:r>
      <w:r w:rsidRPr="00D905B5">
        <w:rPr>
          <w:i/>
          <w:color w:val="0000CC"/>
          <w:sz w:val="18"/>
        </w:rPr>
        <w:t xml:space="preserve"> Гражданин при наличии внутрисемейнного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</w:r>
    </w:p>
  </w:footnote>
  <w:footnote w:id="11">
    <w:p w:rsidR="006C6C20" w:rsidRPr="00D905B5" w:rsidRDefault="006C6C20" w:rsidP="006C6C20">
      <w:pPr>
        <w:pStyle w:val="a4"/>
        <w:rPr>
          <w:i/>
          <w:color w:val="0000CC"/>
          <w:sz w:val="18"/>
        </w:rPr>
      </w:pPr>
      <w:r w:rsidRPr="00D905B5">
        <w:rPr>
          <w:rStyle w:val="a6"/>
          <w:i/>
          <w:color w:val="0000CC"/>
          <w:sz w:val="18"/>
        </w:rPr>
        <w:footnoteRef/>
      </w:r>
      <w:r w:rsidRPr="00D905B5">
        <w:rPr>
          <w:i/>
          <w:color w:val="0000CC"/>
          <w:sz w:val="18"/>
        </w:rPr>
        <w:t xml:space="preserve"> Гражданин,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</w:p>
  </w:footnote>
  <w:footnote w:id="12">
    <w:p w:rsidR="006C6C20" w:rsidRPr="00D905B5" w:rsidRDefault="006C6C20" w:rsidP="006C6C20">
      <w:pPr>
        <w:pStyle w:val="a4"/>
        <w:rPr>
          <w:i/>
          <w:color w:val="0000CC"/>
          <w:sz w:val="18"/>
        </w:rPr>
      </w:pPr>
      <w:r w:rsidRPr="00D905B5">
        <w:rPr>
          <w:rStyle w:val="a6"/>
          <w:i/>
          <w:color w:val="0000CC"/>
          <w:sz w:val="18"/>
        </w:rPr>
        <w:footnoteRef/>
      </w:r>
      <w:r w:rsidRPr="00D905B5">
        <w:rPr>
          <w:i/>
          <w:color w:val="0000CC"/>
          <w:sz w:val="18"/>
        </w:rPr>
        <w:t xml:space="preserve"> Гражданин,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</w:p>
  </w:footnote>
  <w:footnote w:id="13">
    <w:p w:rsidR="006C6C20" w:rsidRPr="00D905B5" w:rsidRDefault="006C6C20" w:rsidP="006C6C20">
      <w:pPr>
        <w:pStyle w:val="a4"/>
        <w:rPr>
          <w:i/>
          <w:color w:val="0000CC"/>
          <w:sz w:val="18"/>
        </w:rPr>
      </w:pPr>
      <w:r w:rsidRPr="00D905B5">
        <w:rPr>
          <w:rStyle w:val="a6"/>
          <w:i/>
          <w:color w:val="0000CC"/>
          <w:sz w:val="18"/>
        </w:rPr>
        <w:footnoteRef/>
      </w:r>
      <w:r w:rsidRPr="00D905B5">
        <w:rPr>
          <w:i/>
          <w:color w:val="0000CC"/>
          <w:sz w:val="18"/>
        </w:rPr>
        <w:t xml:space="preserve"> 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  <w:r w:rsidRPr="00D905B5">
        <w:rPr>
          <w:i/>
          <w:color w:val="0000CC"/>
          <w:sz w:val="18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35"/>
    <w:rsid w:val="000160B3"/>
    <w:rsid w:val="00023731"/>
    <w:rsid w:val="001E6CB5"/>
    <w:rsid w:val="00361C35"/>
    <w:rsid w:val="00422473"/>
    <w:rsid w:val="004B6E76"/>
    <w:rsid w:val="006C6C20"/>
    <w:rsid w:val="006D1D40"/>
    <w:rsid w:val="007C49B2"/>
    <w:rsid w:val="009221BD"/>
    <w:rsid w:val="009E6579"/>
    <w:rsid w:val="00B302F5"/>
    <w:rsid w:val="00B36FF7"/>
    <w:rsid w:val="00BE6AF4"/>
    <w:rsid w:val="00C2137F"/>
    <w:rsid w:val="00D35E68"/>
    <w:rsid w:val="00D905B5"/>
    <w:rsid w:val="00EA58E1"/>
    <w:rsid w:val="00F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69EC0-8E31-4CDD-B0E1-AD43AD98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6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E6AF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6AF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E6AF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D905B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905B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90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5FA7-DC23-442C-9A23-F9894BFA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AZW</dc:creator>
  <cp:keywords/>
  <dc:description/>
  <cp:lastModifiedBy>EEW</cp:lastModifiedBy>
  <cp:revision>2</cp:revision>
  <dcterms:created xsi:type="dcterms:W3CDTF">2021-11-14T11:04:00Z</dcterms:created>
  <dcterms:modified xsi:type="dcterms:W3CDTF">2021-11-14T11:04:00Z</dcterms:modified>
</cp:coreProperties>
</file>